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A32652" w14:textId="77777777" w:rsidR="00994597" w:rsidRPr="0029715A" w:rsidRDefault="00994597" w:rsidP="00994597">
      <w:pPr>
        <w:ind w:firstLine="0"/>
        <w:jc w:val="both"/>
        <w:rPr>
          <w:rFonts w:asciiTheme="minorHAnsi" w:hAnsiTheme="minorHAnsi"/>
          <w:b/>
          <w:color w:val="1F497D"/>
          <w:sz w:val="24"/>
        </w:rPr>
      </w:pPr>
    </w:p>
    <w:p w14:paraId="7A01ECAE" w14:textId="77777777" w:rsidR="00994597" w:rsidRPr="00975414" w:rsidRDefault="004F3430" w:rsidP="004F3430">
      <w:pPr>
        <w:ind w:firstLine="0"/>
        <w:jc w:val="both"/>
        <w:rPr>
          <w:rFonts w:asciiTheme="minorHAnsi" w:hAnsiTheme="minorHAnsi"/>
          <w:b/>
          <w:color w:val="000000" w:themeColor="text1"/>
          <w:sz w:val="24"/>
        </w:rPr>
      </w:pPr>
      <w:r w:rsidRPr="00975414">
        <w:rPr>
          <w:rFonts w:asciiTheme="minorHAnsi" w:hAnsiTheme="minorHAnsi"/>
          <w:b/>
          <w:bCs/>
          <w:color w:val="000000" w:themeColor="text1"/>
          <w:sz w:val="24"/>
        </w:rPr>
        <w:t>Informácia pre žiadateľov o nenávratný finančný príspevok, resp. o príspevok v zmysle čl. 105a a nasl. nariadenia Európskeho parlamentu a Rady (EÚ, Euratom) 1929/2015 z 28. októbra 2015, ktorým sa mení nariadenie (EÚ, Euratom) č. 966/2012 o rozpočtových pravidlách, ktoré sa vzťahujú na všeobecný rozpočet Únie</w:t>
      </w:r>
    </w:p>
    <w:p w14:paraId="36E1C7B2" w14:textId="77777777" w:rsidR="00994597" w:rsidRDefault="00994597" w:rsidP="00994597">
      <w:pPr>
        <w:ind w:firstLine="0"/>
        <w:jc w:val="both"/>
        <w:rPr>
          <w:rFonts w:asciiTheme="minorHAnsi" w:hAnsiTheme="minorHAnsi"/>
          <w:b/>
          <w:color w:val="1F497D"/>
          <w:sz w:val="24"/>
        </w:rPr>
      </w:pPr>
    </w:p>
    <w:p w14:paraId="0EB6D481" w14:textId="77777777" w:rsidR="00195334" w:rsidRPr="0029715A" w:rsidRDefault="00195334" w:rsidP="00994597">
      <w:pPr>
        <w:ind w:firstLine="0"/>
        <w:jc w:val="both"/>
        <w:rPr>
          <w:rFonts w:asciiTheme="minorHAnsi" w:hAnsiTheme="minorHAnsi"/>
          <w:b/>
          <w:color w:val="1F497D"/>
          <w:sz w:val="24"/>
        </w:rPr>
      </w:pPr>
    </w:p>
    <w:p w14:paraId="17030E5D" w14:textId="77777777" w:rsidR="00195334" w:rsidRDefault="00F22518">
      <w:pPr>
        <w:ind w:firstLine="0"/>
        <w:jc w:val="both"/>
        <w:rPr>
          <w:rFonts w:asciiTheme="minorHAnsi" w:hAnsiTheme="minorHAnsi"/>
          <w:sz w:val="24"/>
          <w:szCs w:val="24"/>
        </w:rPr>
      </w:pPr>
      <w:r w:rsidRPr="00F22518">
        <w:rPr>
          <w:rFonts w:asciiTheme="minorHAnsi" w:hAnsiTheme="minorHAnsi"/>
          <w:sz w:val="24"/>
          <w:szCs w:val="24"/>
        </w:rPr>
        <w:t>Európska komisia zriadila a</w:t>
      </w:r>
      <w:r>
        <w:rPr>
          <w:rFonts w:asciiTheme="minorHAnsi" w:hAnsiTheme="minorHAnsi"/>
          <w:sz w:val="24"/>
          <w:szCs w:val="24"/>
        </w:rPr>
        <w:t> </w:t>
      </w:r>
      <w:r w:rsidRPr="00F22518">
        <w:rPr>
          <w:rFonts w:asciiTheme="minorHAnsi" w:hAnsiTheme="minorHAnsi"/>
          <w:sz w:val="24"/>
          <w:szCs w:val="24"/>
        </w:rPr>
        <w:t>prevádzkuje</w:t>
      </w:r>
      <w:r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Systém včasného odhaľovania</w:t>
      </w:r>
      <w:r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 xml:space="preserve">rizika a vylúčených </w:t>
      </w:r>
      <w:r>
        <w:rPr>
          <w:rFonts w:asciiTheme="minorHAnsi" w:hAnsiTheme="minorHAnsi"/>
          <w:sz w:val="24"/>
          <w:szCs w:val="24"/>
        </w:rPr>
        <w:t xml:space="preserve"> </w:t>
      </w:r>
      <w:r w:rsidR="00484DD0">
        <w:rPr>
          <w:rFonts w:asciiTheme="minorHAnsi" w:hAnsiTheme="minorHAnsi"/>
          <w:sz w:val="24"/>
          <w:szCs w:val="24"/>
        </w:rPr>
        <w:t>s</w:t>
      </w:r>
      <w:r w:rsidRPr="00F22518">
        <w:rPr>
          <w:rFonts w:asciiTheme="minorHAnsi" w:hAnsiTheme="minorHAnsi"/>
          <w:sz w:val="24"/>
          <w:szCs w:val="24"/>
        </w:rPr>
        <w:t>ubjektov</w:t>
      </w:r>
      <w:r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–</w:t>
      </w:r>
      <w:r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 xml:space="preserve">The  Early  Detection and Exclusion System (ďalej len „EDES databáza“),  </w:t>
      </w:r>
      <w:r w:rsidR="00195334">
        <w:rPr>
          <w:rFonts w:asciiTheme="minorHAnsi" w:hAnsiTheme="minorHAnsi"/>
          <w:sz w:val="24"/>
          <w:szCs w:val="24"/>
        </w:rPr>
        <w:br/>
      </w:r>
      <w:r w:rsidRPr="00F22518">
        <w:rPr>
          <w:rFonts w:asciiTheme="minorHAnsi" w:hAnsiTheme="minorHAnsi"/>
          <w:sz w:val="24"/>
          <w:szCs w:val="24"/>
        </w:rPr>
        <w:t>aby  posilnila  ochranu finančných záujmov Európskej únie. Od 1. januára 2016 EDES</w:t>
      </w:r>
      <w:r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databáza</w:t>
      </w:r>
      <w:r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nahrádza Systém včasného varovania  (Early  Warning  System –</w:t>
      </w:r>
      <w:r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EWS)  a  Centrálnu  databázu  vylúčených  subjektov  (Central Exclusion Database –</w:t>
      </w:r>
      <w:r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CED).</w:t>
      </w:r>
      <w:r>
        <w:rPr>
          <w:rFonts w:asciiTheme="minorHAnsi" w:hAnsiTheme="minorHAnsi"/>
          <w:sz w:val="24"/>
          <w:szCs w:val="24"/>
        </w:rPr>
        <w:t xml:space="preserve"> </w:t>
      </w:r>
    </w:p>
    <w:p w14:paraId="6B4AD3C8" w14:textId="77777777" w:rsidR="00195334" w:rsidRDefault="00195334">
      <w:pPr>
        <w:ind w:firstLine="0"/>
        <w:jc w:val="both"/>
        <w:rPr>
          <w:rFonts w:asciiTheme="minorHAnsi" w:hAnsiTheme="minorHAnsi"/>
          <w:sz w:val="24"/>
          <w:szCs w:val="24"/>
        </w:rPr>
      </w:pPr>
    </w:p>
    <w:p w14:paraId="30ABA33B" w14:textId="77777777" w:rsidR="00195334" w:rsidRDefault="00F22518" w:rsidP="0065722B">
      <w:pPr>
        <w:ind w:firstLine="0"/>
        <w:jc w:val="both"/>
        <w:rPr>
          <w:rFonts w:asciiTheme="minorHAnsi" w:hAnsiTheme="minorHAnsi"/>
          <w:sz w:val="24"/>
          <w:szCs w:val="24"/>
        </w:rPr>
      </w:pPr>
      <w:r w:rsidRPr="00F22518">
        <w:rPr>
          <w:rFonts w:asciiTheme="minorHAnsi" w:hAnsiTheme="minorHAnsi"/>
          <w:sz w:val="24"/>
          <w:szCs w:val="24"/>
        </w:rPr>
        <w:t>Účelom EDES databázy je (1) včasné odhaľovanie rizík ohrozujúcich finančné záujmy Európskej únie; (2) vylúčenie hospodárskych subjektov, ktoré sa nachádzajú</w:t>
      </w:r>
      <w:r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 xml:space="preserve">v niektorej zo situácií vyžadujúcich vylúčenie </w:t>
      </w:r>
      <w:r>
        <w:rPr>
          <w:rFonts w:asciiTheme="minorHAnsi" w:hAnsiTheme="minorHAnsi"/>
          <w:sz w:val="24"/>
          <w:szCs w:val="24"/>
        </w:rPr>
        <w:t xml:space="preserve">z </w:t>
      </w:r>
      <w:r w:rsidRPr="00F22518">
        <w:rPr>
          <w:rFonts w:asciiTheme="minorHAnsi" w:hAnsiTheme="minorHAnsi"/>
          <w:sz w:val="24"/>
          <w:szCs w:val="24"/>
        </w:rPr>
        <w:t>možnosti prijímať akékoľvek finančné prostriedky z</w:t>
      </w:r>
      <w:r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rozpočtu Európskej únie uvedených</w:t>
      </w:r>
      <w:r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v  článku  106  ods.  1</w:t>
      </w:r>
      <w:r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nariadenia  Európskeho  parlamentu a</w:t>
      </w:r>
      <w:r>
        <w:rPr>
          <w:rFonts w:asciiTheme="minorHAnsi" w:hAnsiTheme="minorHAnsi"/>
          <w:sz w:val="24"/>
          <w:szCs w:val="24"/>
        </w:rPr>
        <w:t> </w:t>
      </w:r>
      <w:r w:rsidRPr="00F22518">
        <w:rPr>
          <w:rFonts w:asciiTheme="minorHAnsi" w:hAnsiTheme="minorHAnsi"/>
          <w:sz w:val="24"/>
          <w:szCs w:val="24"/>
        </w:rPr>
        <w:t>Rady</w:t>
      </w:r>
      <w:r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(EÚ,  Euratom)  č.  966/2012 o rozpočtových pravidlách, ktoré sa vzťahujú na všeobecný rozpočet Únie</w:t>
      </w:r>
      <w:r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v</w:t>
      </w:r>
      <w:r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znení nariadenia (EÚ, Euratom)</w:t>
      </w:r>
      <w:r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1929/2015</w:t>
      </w:r>
      <w:r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(ďalej len „nariadenie o rozpočtových pravidlách“)</w:t>
      </w:r>
      <w:r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 xml:space="preserve">a (3) ukladanie </w:t>
      </w:r>
      <w:r>
        <w:rPr>
          <w:rFonts w:asciiTheme="minorHAnsi" w:hAnsiTheme="minorHAnsi"/>
          <w:sz w:val="24"/>
          <w:szCs w:val="24"/>
        </w:rPr>
        <w:t>pe</w:t>
      </w:r>
      <w:r w:rsidRPr="00F22518">
        <w:rPr>
          <w:rFonts w:asciiTheme="minorHAnsi" w:hAnsiTheme="minorHAnsi"/>
          <w:sz w:val="24"/>
          <w:szCs w:val="24"/>
        </w:rPr>
        <w:t>ňažných sankcií hospodárskym subjektom podľa článku 106 ods. 13</w:t>
      </w:r>
      <w:r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nariadenia o</w:t>
      </w:r>
      <w:r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rozpočtových pravidlách.</w:t>
      </w:r>
      <w:r>
        <w:rPr>
          <w:rFonts w:asciiTheme="minorHAnsi" w:hAnsiTheme="minorHAnsi"/>
          <w:sz w:val="24"/>
          <w:szCs w:val="24"/>
        </w:rPr>
        <w:t xml:space="preserve"> </w:t>
      </w:r>
    </w:p>
    <w:p w14:paraId="43A1E6C6" w14:textId="77777777" w:rsidR="00195334" w:rsidRDefault="00195334" w:rsidP="0065722B">
      <w:pPr>
        <w:ind w:firstLine="0"/>
        <w:jc w:val="both"/>
        <w:rPr>
          <w:rFonts w:asciiTheme="minorHAnsi" w:hAnsiTheme="minorHAnsi"/>
          <w:sz w:val="24"/>
          <w:szCs w:val="24"/>
        </w:rPr>
      </w:pPr>
    </w:p>
    <w:p w14:paraId="351F19B0" w14:textId="77777777" w:rsidR="00195334" w:rsidRDefault="00F22518" w:rsidP="0065722B">
      <w:pPr>
        <w:ind w:firstLine="0"/>
        <w:jc w:val="both"/>
        <w:rPr>
          <w:rFonts w:asciiTheme="minorHAnsi" w:hAnsiTheme="minorHAnsi"/>
          <w:sz w:val="24"/>
          <w:szCs w:val="24"/>
        </w:rPr>
      </w:pPr>
      <w:r w:rsidRPr="00F22518">
        <w:rPr>
          <w:rFonts w:asciiTheme="minorHAnsi" w:hAnsiTheme="minorHAnsi"/>
          <w:sz w:val="24"/>
          <w:szCs w:val="24"/>
        </w:rPr>
        <w:t>Žiadatelia o nenávrat</w:t>
      </w:r>
      <w:r>
        <w:rPr>
          <w:rFonts w:asciiTheme="minorHAnsi" w:hAnsiTheme="minorHAnsi"/>
          <w:sz w:val="24"/>
          <w:szCs w:val="24"/>
        </w:rPr>
        <w:t>n</w:t>
      </w:r>
      <w:r w:rsidRPr="00F22518">
        <w:rPr>
          <w:rFonts w:asciiTheme="minorHAnsi" w:hAnsiTheme="minorHAnsi"/>
          <w:sz w:val="24"/>
          <w:szCs w:val="24"/>
        </w:rPr>
        <w:t>ý finančný príspevok, resp.</w:t>
      </w:r>
      <w:r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 xml:space="preserve">o príspevok sú </w:t>
      </w:r>
      <w:r w:rsidR="00195334">
        <w:rPr>
          <w:rFonts w:asciiTheme="minorHAnsi" w:hAnsiTheme="minorHAnsi"/>
          <w:sz w:val="24"/>
          <w:szCs w:val="24"/>
        </w:rPr>
        <w:t>tý</w:t>
      </w:r>
      <w:r w:rsidRPr="00F22518">
        <w:rPr>
          <w:rFonts w:asciiTheme="minorHAnsi" w:hAnsiTheme="minorHAnsi"/>
          <w:sz w:val="24"/>
          <w:szCs w:val="24"/>
        </w:rPr>
        <w:t xml:space="preserve">mto informovaní, že </w:t>
      </w:r>
      <w:r w:rsidR="00195334">
        <w:rPr>
          <w:rFonts w:asciiTheme="minorHAnsi" w:hAnsiTheme="minorHAnsi"/>
          <w:sz w:val="24"/>
          <w:szCs w:val="24"/>
        </w:rPr>
        <w:br/>
      </w:r>
      <w:r w:rsidRPr="00F22518">
        <w:rPr>
          <w:rFonts w:asciiTheme="minorHAnsi" w:hAnsiTheme="minorHAnsi"/>
          <w:sz w:val="24"/>
          <w:szCs w:val="24"/>
        </w:rPr>
        <w:t>v prípade, ak sa ocitnú v niektorej zo situácií</w:t>
      </w:r>
      <w:r w:rsidR="00195334"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uvedených v  čl. 106 ods. 1 nariadenia o</w:t>
      </w:r>
      <w:r w:rsidR="00195334"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rozpočtových pravidlách, tak ich údaje  môžu byť registrované  v</w:t>
      </w:r>
      <w:r w:rsidR="00195334">
        <w:rPr>
          <w:rFonts w:asciiTheme="minorHAnsi" w:hAnsiTheme="minorHAnsi"/>
          <w:sz w:val="24"/>
          <w:szCs w:val="24"/>
        </w:rPr>
        <w:t> </w:t>
      </w:r>
      <w:r w:rsidRPr="00F22518">
        <w:rPr>
          <w:rFonts w:asciiTheme="minorHAnsi" w:hAnsiTheme="minorHAnsi"/>
          <w:sz w:val="24"/>
          <w:szCs w:val="24"/>
        </w:rPr>
        <w:t>EDES</w:t>
      </w:r>
      <w:r w:rsidR="00195334"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databáze</w:t>
      </w:r>
      <w:r w:rsidR="00195334"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a môžu byť oznámené</w:t>
      </w:r>
      <w:r w:rsidR="00195334"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oprávneným osobám a</w:t>
      </w:r>
      <w:r w:rsidR="00195334">
        <w:rPr>
          <w:rFonts w:asciiTheme="minorHAnsi" w:hAnsiTheme="minorHAnsi"/>
          <w:sz w:val="24"/>
          <w:szCs w:val="24"/>
        </w:rPr>
        <w:t> </w:t>
      </w:r>
      <w:r w:rsidRPr="00F22518">
        <w:rPr>
          <w:rFonts w:asciiTheme="minorHAnsi" w:hAnsiTheme="minorHAnsi"/>
          <w:sz w:val="24"/>
          <w:szCs w:val="24"/>
        </w:rPr>
        <w:t>inštitúciám</w:t>
      </w:r>
      <w:r w:rsidR="00195334"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v súvislosti s</w:t>
      </w:r>
      <w:r w:rsidR="00195334"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 xml:space="preserve">možnosťou </w:t>
      </w:r>
      <w:r w:rsidR="00195334">
        <w:rPr>
          <w:rFonts w:asciiTheme="minorHAnsi" w:hAnsiTheme="minorHAnsi"/>
          <w:sz w:val="24"/>
          <w:szCs w:val="24"/>
        </w:rPr>
        <w:t>p</w:t>
      </w:r>
      <w:r w:rsidRPr="00F22518">
        <w:rPr>
          <w:rFonts w:asciiTheme="minorHAnsi" w:hAnsiTheme="minorHAnsi"/>
          <w:sz w:val="24"/>
          <w:szCs w:val="24"/>
        </w:rPr>
        <w:t>oskytnutia</w:t>
      </w:r>
      <w:r w:rsidR="00195334"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finančných prostriedkov z</w:t>
      </w:r>
      <w:r w:rsidR="00195334"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rozpočtu Európskej únie.</w:t>
      </w:r>
      <w:r w:rsidR="00195334">
        <w:rPr>
          <w:rFonts w:asciiTheme="minorHAnsi" w:hAnsiTheme="minorHAnsi"/>
          <w:sz w:val="24"/>
          <w:szCs w:val="24"/>
        </w:rPr>
        <w:t xml:space="preserve"> </w:t>
      </w:r>
    </w:p>
    <w:p w14:paraId="05295407" w14:textId="77777777" w:rsidR="00195334" w:rsidRDefault="00195334" w:rsidP="0065722B">
      <w:pPr>
        <w:ind w:firstLine="0"/>
        <w:jc w:val="both"/>
        <w:rPr>
          <w:rFonts w:asciiTheme="minorHAnsi" w:hAnsiTheme="minorHAnsi"/>
          <w:sz w:val="24"/>
          <w:szCs w:val="24"/>
        </w:rPr>
      </w:pPr>
    </w:p>
    <w:p w14:paraId="1D8930EA" w14:textId="77777777" w:rsidR="0029715A" w:rsidRDefault="00F22518" w:rsidP="0065722B">
      <w:pPr>
        <w:ind w:firstLine="0"/>
        <w:jc w:val="both"/>
        <w:rPr>
          <w:rFonts w:asciiTheme="minorHAnsi" w:hAnsiTheme="minorHAnsi"/>
          <w:b/>
          <w:color w:val="1F497D"/>
          <w:sz w:val="24"/>
          <w:u w:val="single"/>
        </w:rPr>
      </w:pPr>
      <w:r w:rsidRPr="00F22518">
        <w:rPr>
          <w:rFonts w:asciiTheme="minorHAnsi" w:hAnsiTheme="minorHAnsi"/>
          <w:sz w:val="24"/>
          <w:szCs w:val="24"/>
        </w:rPr>
        <w:t>Právnické  a</w:t>
      </w:r>
      <w:r w:rsidR="00195334"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fyzické  osoby  si  môžu zároveň  uplatňovať</w:t>
      </w:r>
      <w:r w:rsidR="00195334"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 xml:space="preserve">svoje  práva  vyplývajúce  </w:t>
      </w:r>
      <w:r w:rsidR="00195334">
        <w:rPr>
          <w:rFonts w:asciiTheme="minorHAnsi" w:hAnsiTheme="minorHAnsi"/>
          <w:sz w:val="24"/>
          <w:szCs w:val="24"/>
        </w:rPr>
        <w:br/>
      </w:r>
      <w:r w:rsidRPr="00F22518">
        <w:rPr>
          <w:rFonts w:asciiTheme="minorHAnsi" w:hAnsiTheme="minorHAnsi"/>
          <w:sz w:val="24"/>
          <w:szCs w:val="24"/>
        </w:rPr>
        <w:t>z</w:t>
      </w:r>
      <w:r w:rsidR="00195334"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nariadenia Európskeho parlamentu a Rady (ES) č. 45/2001 z 18. decembra 2000 o ochrane jednotlivcov so</w:t>
      </w:r>
      <w:r w:rsidR="00195334"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zreteľom na spracovanie osobných údajov inštitúciami a orgánmi spoločenstva a o voľnom pohybe takýchto údajov a</w:t>
      </w:r>
      <w:r w:rsidR="00195334">
        <w:rPr>
          <w:rFonts w:asciiTheme="minorHAnsi" w:hAnsiTheme="minorHAnsi"/>
          <w:sz w:val="24"/>
          <w:szCs w:val="24"/>
        </w:rPr>
        <w:t> </w:t>
      </w:r>
      <w:r w:rsidRPr="00F22518">
        <w:rPr>
          <w:rFonts w:asciiTheme="minorHAnsi" w:hAnsiTheme="minorHAnsi"/>
          <w:sz w:val="24"/>
          <w:szCs w:val="24"/>
        </w:rPr>
        <w:t>nariadenia</w:t>
      </w:r>
      <w:r w:rsidR="00195334"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Európskeho parlamentu a Rady (EÚ) 679/2016</w:t>
      </w:r>
      <w:r w:rsidR="00195334"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z 27. apríla 2016 o ochrane fyzických osôb pri spracúvaní osobných údajov a o voľnom pohybe takýchto údajov, ktorým</w:t>
      </w:r>
      <w:r w:rsidR="00195334"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sa zrušuje smernica 95/46/ES (všeobecné nariadenie o ochrane údajov).</w:t>
      </w:r>
      <w:r w:rsidR="000C66B3">
        <w:rPr>
          <w:rFonts w:asciiTheme="minorHAnsi" w:hAnsiTheme="minorHAnsi"/>
          <w:sz w:val="24"/>
          <w:szCs w:val="24"/>
        </w:rPr>
        <w:t xml:space="preserve"> </w:t>
      </w:r>
    </w:p>
    <w:p w14:paraId="33264678" w14:textId="77777777" w:rsidR="0029715A" w:rsidRPr="0029715A" w:rsidRDefault="0029715A" w:rsidP="0029715A">
      <w:pPr>
        <w:rPr>
          <w:rFonts w:asciiTheme="minorHAnsi" w:hAnsiTheme="minorHAnsi"/>
          <w:sz w:val="24"/>
        </w:rPr>
      </w:pPr>
    </w:p>
    <w:p w14:paraId="5E6A2BAE" w14:textId="77777777" w:rsidR="0029715A" w:rsidRDefault="0029715A" w:rsidP="0029715A">
      <w:pPr>
        <w:rPr>
          <w:rFonts w:asciiTheme="minorHAnsi" w:hAnsiTheme="minorHAnsi"/>
          <w:sz w:val="24"/>
        </w:rPr>
      </w:pPr>
    </w:p>
    <w:p w14:paraId="2A1A93FE" w14:textId="77777777" w:rsidR="004B722B" w:rsidRPr="0029715A" w:rsidRDefault="0029715A" w:rsidP="0029715A">
      <w:pPr>
        <w:tabs>
          <w:tab w:val="left" w:pos="3310"/>
        </w:tabs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ab/>
      </w:r>
    </w:p>
    <w:sectPr w:rsidR="004B722B" w:rsidRPr="0029715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F6DD1F" w14:textId="77777777" w:rsidR="00AC0FBC" w:rsidRDefault="00AC0FBC" w:rsidP="00994597">
      <w:r>
        <w:separator/>
      </w:r>
    </w:p>
  </w:endnote>
  <w:endnote w:type="continuationSeparator" w:id="0">
    <w:p w14:paraId="2F534753" w14:textId="77777777" w:rsidR="00AC0FBC" w:rsidRDefault="00AC0FBC" w:rsidP="00994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AC52AF" w14:textId="77777777" w:rsidR="00AC0FBC" w:rsidRDefault="00AC0FBC" w:rsidP="00994597">
      <w:r>
        <w:separator/>
      </w:r>
    </w:p>
  </w:footnote>
  <w:footnote w:type="continuationSeparator" w:id="0">
    <w:p w14:paraId="4E6C5559" w14:textId="77777777" w:rsidR="00AC0FBC" w:rsidRDefault="00AC0FBC" w:rsidP="00994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93D928" w14:textId="77777777" w:rsidR="009B65FE" w:rsidRPr="00751ECA" w:rsidRDefault="009B65FE" w:rsidP="009B65FE">
    <w:pPr>
      <w:pStyle w:val="Hlavika"/>
      <w:rPr>
        <w:sz w:val="16"/>
        <w:szCs w:val="16"/>
      </w:rPr>
    </w:pPr>
    <w:r w:rsidRPr="00751ECA">
      <w:rPr>
        <w:sz w:val="16"/>
        <w:szCs w:val="16"/>
      </w:rPr>
      <w:t>Príloha č. 17B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597"/>
    <w:rsid w:val="00033DA3"/>
    <w:rsid w:val="000C66B3"/>
    <w:rsid w:val="00195334"/>
    <w:rsid w:val="00202A1E"/>
    <w:rsid w:val="00266442"/>
    <w:rsid w:val="0029715A"/>
    <w:rsid w:val="0030684C"/>
    <w:rsid w:val="00484DD0"/>
    <w:rsid w:val="004B0603"/>
    <w:rsid w:val="004B722B"/>
    <w:rsid w:val="004F3430"/>
    <w:rsid w:val="005B7D64"/>
    <w:rsid w:val="0065423F"/>
    <w:rsid w:val="0065722B"/>
    <w:rsid w:val="00751ECA"/>
    <w:rsid w:val="00975414"/>
    <w:rsid w:val="00994597"/>
    <w:rsid w:val="009A0829"/>
    <w:rsid w:val="009B65FE"/>
    <w:rsid w:val="00A77910"/>
    <w:rsid w:val="00AB5B0D"/>
    <w:rsid w:val="00AC0FBC"/>
    <w:rsid w:val="00C7086C"/>
    <w:rsid w:val="00C7298E"/>
    <w:rsid w:val="00E47900"/>
    <w:rsid w:val="00EB5C07"/>
    <w:rsid w:val="00EC22C3"/>
    <w:rsid w:val="00F020DD"/>
    <w:rsid w:val="00F22518"/>
    <w:rsid w:val="00F62151"/>
    <w:rsid w:val="00F73FA0"/>
    <w:rsid w:val="00FF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26D46"/>
  <w15:docId w15:val="{1E41D426-DE57-43B3-8B56-9211F6AC5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94597"/>
    <w:pPr>
      <w:spacing w:after="0" w:line="240" w:lineRule="auto"/>
      <w:ind w:firstLine="360"/>
    </w:pPr>
    <w:rPr>
      <w:rFonts w:ascii="Calibri" w:eastAsia="Times New Roman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rsid w:val="0099459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994597"/>
    <w:rPr>
      <w:rFonts w:ascii="Calibri" w:eastAsia="Times New Roman" w:hAnsi="Calibri" w:cs="Times New Roman"/>
      <w:sz w:val="20"/>
      <w:szCs w:val="20"/>
      <w:lang w:eastAsia="sk-SK"/>
    </w:rPr>
  </w:style>
  <w:style w:type="character" w:styleId="Odkaznapoznmkupodiarou">
    <w:name w:val="footnote reference"/>
    <w:semiHidden/>
    <w:rsid w:val="00994597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29715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9715A"/>
    <w:rPr>
      <w:rFonts w:ascii="Calibri" w:eastAsia="Times New Roman" w:hAnsi="Calibri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9715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9715A"/>
    <w:rPr>
      <w:rFonts w:ascii="Calibri" w:eastAsia="Times New Roman" w:hAnsi="Calibri" w:cs="Times New Roman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2251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2251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22518"/>
    <w:rPr>
      <w:rFonts w:ascii="Calibri" w:eastAsia="Times New Roman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2251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22518"/>
    <w:rPr>
      <w:rFonts w:ascii="Calibri" w:eastAsia="Times New Roman" w:hAnsi="Calibri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225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22518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MPCH Janka</dc:creator>
  <cp:lastModifiedBy>MPCH Janka</cp:lastModifiedBy>
  <cp:revision>2</cp:revision>
  <cp:lastPrinted>2015-11-11T09:03:00Z</cp:lastPrinted>
  <dcterms:created xsi:type="dcterms:W3CDTF">2020-09-22T11:16:00Z</dcterms:created>
  <dcterms:modified xsi:type="dcterms:W3CDTF">2020-09-22T11:16:00Z</dcterms:modified>
</cp:coreProperties>
</file>